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w:t>
      </w:r>
      <w:r w:rsidR="00115E22">
        <w:rPr>
          <w:sz w:val="18"/>
          <w:szCs w:val="18"/>
        </w:rPr>
        <w:t>passive</w:t>
      </w:r>
      <w:r>
        <w:rPr>
          <w:sz w:val="18"/>
          <w:szCs w:val="18"/>
        </w:rPr>
        <w:t xml:space="preser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2. Performance data, including sensible</w:t>
      </w:r>
      <w:r w:rsidR="00B04F01">
        <w:rPr>
          <w:sz w:val="18"/>
          <w:szCs w:val="18"/>
        </w:rPr>
        <w:t xml:space="preserve"> capacity, chilled </w:t>
      </w:r>
      <w:r>
        <w:rPr>
          <w:sz w:val="18"/>
          <w:szCs w:val="18"/>
        </w:rPr>
        <w:t>water flow rates, and water side pressu</w:t>
      </w:r>
      <w:r w:rsidR="00B04F01">
        <w:rPr>
          <w:sz w:val="18"/>
          <w:szCs w:val="18"/>
        </w:rPr>
        <w:t>re losses.</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AD006B" w:rsidRDefault="00AD006B" w:rsidP="00AD006B">
      <w:pPr>
        <w:pStyle w:val="Default"/>
        <w:rPr>
          <w:sz w:val="18"/>
          <w:szCs w:val="18"/>
        </w:rPr>
      </w:pPr>
    </w:p>
    <w:p w:rsidR="00AD006B" w:rsidRPr="00575B97" w:rsidRDefault="00AD006B" w:rsidP="00AD006B">
      <w:pPr>
        <w:pStyle w:val="Default"/>
        <w:numPr>
          <w:ilvl w:val="1"/>
          <w:numId w:val="8"/>
        </w:numPr>
        <w:rPr>
          <w:b/>
          <w:bCs/>
          <w:sz w:val="18"/>
          <w:szCs w:val="18"/>
        </w:rPr>
      </w:pPr>
      <w:r>
        <w:rPr>
          <w:b/>
          <w:bCs/>
          <w:sz w:val="18"/>
          <w:szCs w:val="18"/>
        </w:rPr>
        <w:t xml:space="preserve">  </w:t>
      </w:r>
      <w:r w:rsidRPr="00575B97">
        <w:rPr>
          <w:b/>
          <w:bCs/>
          <w:sz w:val="18"/>
          <w:szCs w:val="18"/>
        </w:rPr>
        <w:t>Warranty</w:t>
      </w:r>
    </w:p>
    <w:p w:rsidR="00AD006B" w:rsidRDefault="00AD006B" w:rsidP="00AD006B">
      <w:pPr>
        <w:pStyle w:val="Default"/>
        <w:rPr>
          <w:sz w:val="18"/>
          <w:szCs w:val="18"/>
        </w:rPr>
      </w:pPr>
      <w:r>
        <w:rPr>
          <w:sz w:val="18"/>
          <w:szCs w:val="18"/>
        </w:rPr>
        <w:t>Parts-only warranty shall be 12 months from date of shipment.</w:t>
      </w:r>
    </w:p>
    <w:p w:rsidR="00AD006B" w:rsidRDefault="00AD006B"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8C1801">
        <w:rPr>
          <w:sz w:val="18"/>
          <w:szCs w:val="18"/>
        </w:rPr>
        <w:t>T</w:t>
      </w:r>
      <w:r w:rsidR="00B610E4">
        <w:rPr>
          <w:sz w:val="18"/>
          <w:szCs w:val="18"/>
        </w:rPr>
        <w:t>ITUS</w:t>
      </w:r>
      <w:r w:rsidR="008C1801">
        <w:rPr>
          <w:sz w:val="18"/>
          <w:szCs w:val="18"/>
        </w:rPr>
        <w:t xml:space="preserve"> CBPR</w:t>
      </w:r>
      <w:r>
        <w:rPr>
          <w:sz w:val="18"/>
          <w:szCs w:val="18"/>
        </w:rPr>
        <w:t xml:space="preserve"> series </w:t>
      </w:r>
      <w:r w:rsidR="00460929">
        <w:rPr>
          <w:sz w:val="18"/>
          <w:szCs w:val="18"/>
        </w:rPr>
        <w:t>recessed</w:t>
      </w:r>
      <w:r w:rsidR="00897FDE">
        <w:rPr>
          <w:sz w:val="18"/>
          <w:szCs w:val="18"/>
        </w:rPr>
        <w:t xml:space="preserve"> passive</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C55A7F" w:rsidRDefault="004B4E15" w:rsidP="00460929">
      <w:pPr>
        <w:pStyle w:val="Default"/>
        <w:numPr>
          <w:ilvl w:val="0"/>
          <w:numId w:val="2"/>
        </w:numPr>
        <w:rPr>
          <w:sz w:val="18"/>
          <w:szCs w:val="18"/>
        </w:rPr>
      </w:pPr>
      <w:r w:rsidRPr="004B4E15">
        <w:rPr>
          <w:sz w:val="18"/>
          <w:szCs w:val="18"/>
        </w:rPr>
        <w:t xml:space="preserve"> The face of the beam shall </w:t>
      </w:r>
      <w:r w:rsidR="00460929">
        <w:rPr>
          <w:sz w:val="18"/>
          <w:szCs w:val="18"/>
        </w:rPr>
        <w:t>fully open</w:t>
      </w:r>
      <w:r w:rsidR="00897FDE">
        <w:rPr>
          <w:sz w:val="18"/>
          <w:szCs w:val="18"/>
        </w:rPr>
        <w:t xml:space="preserve">. </w:t>
      </w:r>
      <w:r w:rsidR="00CE6C33">
        <w:rPr>
          <w:sz w:val="18"/>
          <w:szCs w:val="18"/>
        </w:rPr>
        <w:t>The face section shall</w:t>
      </w:r>
      <w:r w:rsidR="00897FDE">
        <w:rPr>
          <w:sz w:val="18"/>
          <w:szCs w:val="18"/>
        </w:rPr>
        <w:t xml:space="preserve"> </w:t>
      </w:r>
      <w:r w:rsidR="00460929">
        <w:rPr>
          <w:sz w:val="18"/>
          <w:szCs w:val="18"/>
        </w:rPr>
        <w:t>include a “skirt” of plenum rated fabric to create continuous convective current from the ceiling cavity through the false ceiling.</w:t>
      </w:r>
    </w:p>
    <w:p w:rsidR="00A24400" w:rsidRPr="00A4525D" w:rsidRDefault="004B4E15" w:rsidP="00A4525D">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w:t>
      </w:r>
      <w:r w:rsidR="00A4525D">
        <w:rPr>
          <w:sz w:val="18"/>
          <w:szCs w:val="18"/>
        </w:rPr>
        <w:t>.</w:t>
      </w:r>
      <w:r w:rsidRPr="00C55A7F">
        <w:rPr>
          <w:sz w:val="18"/>
          <w:szCs w:val="18"/>
        </w:rPr>
        <w:t xml:space="preserve">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2 </w:t>
      </w:r>
      <w:r w:rsidR="00A4525D">
        <w:rPr>
          <w:sz w:val="18"/>
          <w:szCs w:val="18"/>
        </w:rPr>
        <w:t>p</w:t>
      </w:r>
      <w:r w:rsidRPr="00A24400">
        <w:rPr>
          <w:sz w:val="18"/>
          <w:szCs w:val="18"/>
        </w:rPr>
        <w:t xml:space="preserve">ipe </w:t>
      </w:r>
      <w:r w:rsidR="00A24400" w:rsidRPr="00A24400">
        <w:rPr>
          <w:sz w:val="18"/>
          <w:szCs w:val="18"/>
        </w:rPr>
        <w:t>water connections</w:t>
      </w:r>
      <w:r w:rsidRPr="00A24400">
        <w:rPr>
          <w:sz w:val="18"/>
          <w:szCs w:val="18"/>
        </w:rPr>
        <w:t xml:space="preserve"> as indicated on plans and schedules. </w:t>
      </w:r>
      <w:r w:rsidR="007E167B">
        <w:rPr>
          <w:sz w:val="18"/>
          <w:szCs w:val="18"/>
        </w:rPr>
        <w:t>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w:t>
      </w:r>
      <w:r w:rsidR="00B610E4">
        <w:rPr>
          <w:sz w:val="18"/>
          <w:szCs w:val="18"/>
        </w:rPr>
        <w:t>60</w:t>
      </w:r>
      <w:r w:rsidRPr="00A24400">
        <w:rPr>
          <w:sz w:val="18"/>
          <w:szCs w:val="18"/>
        </w:rPr>
        <w:t xml:space="preserve"> PSI, </w:t>
      </w:r>
      <w:r w:rsidR="00A24400" w:rsidRPr="00A24400">
        <w:rPr>
          <w:sz w:val="18"/>
          <w:szCs w:val="18"/>
        </w:rPr>
        <w:t xml:space="preserve">and </w:t>
      </w:r>
      <w:r w:rsidRPr="00A24400">
        <w:rPr>
          <w:sz w:val="18"/>
          <w:szCs w:val="18"/>
        </w:rPr>
        <w:t xml:space="preserve">be factory tested for leakage at a minimum pressure of </w:t>
      </w:r>
      <w:r w:rsidR="00B610E4">
        <w:rPr>
          <w:sz w:val="18"/>
          <w:szCs w:val="18"/>
        </w:rPr>
        <w:t>500</w:t>
      </w:r>
      <w:bookmarkStart w:id="0" w:name="_GoBack"/>
      <w:bookmarkEnd w:id="0"/>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 xml:space="preserve">Connections shall face upwards, be located near the </w:t>
      </w:r>
      <w:r w:rsidR="00A4525D">
        <w:rPr>
          <w:sz w:val="18"/>
          <w:szCs w:val="18"/>
        </w:rPr>
        <w:t>end of the beam.</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F1D4B"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w:t>
      </w:r>
    </w:p>
    <w:p w:rsidR="00684EAB" w:rsidRDefault="00684EAB" w:rsidP="00684EAB">
      <w:pPr>
        <w:pStyle w:val="Default"/>
        <w:numPr>
          <w:ilvl w:val="0"/>
          <w:numId w:val="3"/>
        </w:numPr>
        <w:spacing w:after="9"/>
        <w:rPr>
          <w:color w:val="auto"/>
          <w:sz w:val="18"/>
          <w:szCs w:val="18"/>
        </w:rPr>
      </w:pPr>
      <w:r w:rsidRPr="00293679">
        <w:rPr>
          <w:color w:val="auto"/>
          <w:sz w:val="18"/>
          <w:szCs w:val="18"/>
        </w:rPr>
        <w:t>Coils shall be rated in accordance with ARI Standard 410</w:t>
      </w:r>
      <w:r>
        <w:rPr>
          <w:color w:val="auto"/>
          <w:sz w:val="18"/>
          <w:szCs w:val="18"/>
        </w:rPr>
        <w:t xml:space="preserve">, </w:t>
      </w:r>
      <w:r w:rsidRPr="00293679">
        <w:rPr>
          <w:color w:val="auto"/>
          <w:sz w:val="18"/>
          <w:szCs w:val="18"/>
        </w:rPr>
        <w:t xml:space="preserve">but their cooling capacities shall </w:t>
      </w:r>
      <w:r>
        <w:rPr>
          <w:color w:val="auto"/>
          <w:sz w:val="18"/>
          <w:szCs w:val="18"/>
        </w:rPr>
        <w:t>be established in accordance with EN Standard 14518.</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 xml:space="preserve">24) inches in length and suitable for operation with a bend radius as small as five (5) inches. Connector hoses shall </w:t>
      </w:r>
      <w:r w:rsidRPr="00485BA3">
        <w:rPr>
          <w:sz w:val="18"/>
          <w:szCs w:val="18"/>
        </w:rPr>
        <w:lastRenderedPageBreak/>
        <w:t>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9F" w:rsidRDefault="00BC2C9F" w:rsidP="00614A96">
      <w:pPr>
        <w:spacing w:after="0" w:line="240" w:lineRule="auto"/>
      </w:pPr>
      <w:r>
        <w:separator/>
      </w:r>
    </w:p>
  </w:endnote>
  <w:endnote w:type="continuationSeparator" w:id="0">
    <w:p w:rsidR="00BC2C9F" w:rsidRDefault="00BC2C9F"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9F" w:rsidRDefault="00BC2C9F" w:rsidP="00614A96">
      <w:pPr>
        <w:spacing w:after="0" w:line="240" w:lineRule="auto"/>
      </w:pPr>
      <w:r>
        <w:separator/>
      </w:r>
    </w:p>
  </w:footnote>
  <w:footnote w:type="continuationSeparator" w:id="0">
    <w:p w:rsidR="00BC2C9F" w:rsidRDefault="00BC2C9F"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8C1801">
    <w:pPr>
      <w:pStyle w:val="Header"/>
      <w:rPr>
        <w:sz w:val="32"/>
      </w:rPr>
    </w:pPr>
    <w:r>
      <w:rPr>
        <w:sz w:val="32"/>
      </w:rPr>
      <w:t>CBPR</w:t>
    </w:r>
    <w:r w:rsidR="00614A96" w:rsidRPr="00614A96">
      <w:rPr>
        <w:sz w:val="32"/>
      </w:rPr>
      <w:t xml:space="preserve"> </w:t>
    </w:r>
    <w:r w:rsidR="00E7340F">
      <w:rPr>
        <w:sz w:val="32"/>
      </w:rPr>
      <w:t xml:space="preserve">Passive </w:t>
    </w:r>
    <w:r w:rsidR="00614A96" w:rsidRPr="00614A96">
      <w:rPr>
        <w:sz w:val="32"/>
      </w:rPr>
      <w:t>Chilled Beams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546C302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03F2"/>
    <w:rsid w:val="000D1D57"/>
    <w:rsid w:val="000F2876"/>
    <w:rsid w:val="00115E22"/>
    <w:rsid w:val="00125C01"/>
    <w:rsid w:val="00293679"/>
    <w:rsid w:val="00460929"/>
    <w:rsid w:val="00485BA3"/>
    <w:rsid w:val="004B4E15"/>
    <w:rsid w:val="005371C9"/>
    <w:rsid w:val="00565719"/>
    <w:rsid w:val="005A30BA"/>
    <w:rsid w:val="005D0AF1"/>
    <w:rsid w:val="00614A96"/>
    <w:rsid w:val="00684EAB"/>
    <w:rsid w:val="00717E4A"/>
    <w:rsid w:val="00750F7F"/>
    <w:rsid w:val="007E167B"/>
    <w:rsid w:val="00870308"/>
    <w:rsid w:val="00897FDE"/>
    <w:rsid w:val="008C1801"/>
    <w:rsid w:val="00913973"/>
    <w:rsid w:val="0096024A"/>
    <w:rsid w:val="00975DFF"/>
    <w:rsid w:val="00A24400"/>
    <w:rsid w:val="00A4525D"/>
    <w:rsid w:val="00AD006B"/>
    <w:rsid w:val="00AF1D4B"/>
    <w:rsid w:val="00B04F01"/>
    <w:rsid w:val="00B36332"/>
    <w:rsid w:val="00B610E4"/>
    <w:rsid w:val="00BC2C9F"/>
    <w:rsid w:val="00C45C20"/>
    <w:rsid w:val="00C55A7F"/>
    <w:rsid w:val="00CA6E61"/>
    <w:rsid w:val="00CE6C33"/>
    <w:rsid w:val="00E21DC1"/>
    <w:rsid w:val="00E46A2F"/>
    <w:rsid w:val="00E7340F"/>
    <w:rsid w:val="00E8065F"/>
    <w:rsid w:val="00E8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8</cp:revision>
  <dcterms:created xsi:type="dcterms:W3CDTF">2016-04-11T18:33:00Z</dcterms:created>
  <dcterms:modified xsi:type="dcterms:W3CDTF">2016-07-29T18:15:00Z</dcterms:modified>
</cp:coreProperties>
</file>